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6ACF" w14:textId="5654A374" w:rsidR="00AB4B4C" w:rsidRDefault="00AB4B4C" w:rsidP="005A0EF7">
      <w:pPr>
        <w:pStyle w:val="BasistekstKNMT"/>
        <w:rPr>
          <w:b/>
          <w:bCs/>
        </w:rPr>
      </w:pPr>
      <w:r>
        <w:rPr>
          <w:b/>
          <w:bCs/>
        </w:rPr>
        <w:t>PERSBERICHT</w:t>
      </w:r>
    </w:p>
    <w:p w14:paraId="745913FE" w14:textId="77777777" w:rsidR="00AB4B4C" w:rsidRDefault="00AB4B4C" w:rsidP="005A0EF7">
      <w:pPr>
        <w:pStyle w:val="BasistekstKNMT"/>
        <w:rPr>
          <w:b/>
          <w:bCs/>
        </w:rPr>
      </w:pPr>
    </w:p>
    <w:p w14:paraId="448B4692" w14:textId="44405DBE" w:rsidR="005A0EF7" w:rsidRPr="005A0EF7" w:rsidRDefault="001A70BF" w:rsidP="005A0EF7">
      <w:pPr>
        <w:pStyle w:val="BasistekstKNMT"/>
        <w:rPr>
          <w:b/>
          <w:bCs/>
        </w:rPr>
      </w:pPr>
      <w:r>
        <w:rPr>
          <w:b/>
          <w:bCs/>
        </w:rPr>
        <w:t>Sociale Tandarts Rotterdam wint KNMT Mondzorg Award 2024</w:t>
      </w:r>
    </w:p>
    <w:p w14:paraId="2E1F1792" w14:textId="77777777" w:rsidR="005A0EF7" w:rsidRPr="005A0EF7" w:rsidRDefault="005A0EF7" w:rsidP="005A0EF7">
      <w:pPr>
        <w:pStyle w:val="BasistekstKNMT"/>
        <w:rPr>
          <w:b/>
          <w:bCs/>
        </w:rPr>
      </w:pPr>
    </w:p>
    <w:p w14:paraId="79D80F48" w14:textId="5E7046F6" w:rsidR="005A0EF7" w:rsidRPr="005A0EF7" w:rsidRDefault="001A70BF" w:rsidP="005A0EF7">
      <w:pPr>
        <w:pStyle w:val="BasistekstKNMT"/>
        <w:rPr>
          <w:b/>
          <w:bCs/>
        </w:rPr>
      </w:pPr>
      <w:r>
        <w:rPr>
          <w:b/>
          <w:bCs/>
        </w:rPr>
        <w:t>De Sociale Tandarts Rotterdam</w:t>
      </w:r>
      <w:r w:rsidRPr="005A0EF7">
        <w:rPr>
          <w:b/>
          <w:bCs/>
        </w:rPr>
        <w:t xml:space="preserve"> </w:t>
      </w:r>
      <w:r>
        <w:rPr>
          <w:b/>
          <w:bCs/>
        </w:rPr>
        <w:t xml:space="preserve">heeft de KNMT Mondzorg Award 2024 gewonnen. De organisatie </w:t>
      </w:r>
      <w:r w:rsidR="005A0EF7" w:rsidRPr="005A0EF7">
        <w:rPr>
          <w:b/>
          <w:bCs/>
        </w:rPr>
        <w:t>kreeg de onderscheiding voor</w:t>
      </w:r>
      <w:r>
        <w:rPr>
          <w:b/>
          <w:bCs/>
        </w:rPr>
        <w:t xml:space="preserve"> haar hulp aan Rotterdammers die tandheelkundige noodhulp nodig hebben maar die niet kunnen betalen</w:t>
      </w:r>
      <w:r w:rsidR="005A0EF7">
        <w:rPr>
          <w:b/>
          <w:bCs/>
        </w:rPr>
        <w:t>.</w:t>
      </w:r>
    </w:p>
    <w:p w14:paraId="70CF35CA" w14:textId="77777777" w:rsidR="005A0EF7" w:rsidRDefault="005A0EF7" w:rsidP="005A0EF7">
      <w:pPr>
        <w:pStyle w:val="BasistekstKNMT"/>
      </w:pPr>
    </w:p>
    <w:p w14:paraId="584F714E" w14:textId="59435580" w:rsidR="005A0EF7" w:rsidRDefault="001A70BF" w:rsidP="001A70BF">
      <w:pPr>
        <w:pStyle w:val="BasistekstKNMT"/>
      </w:pPr>
      <w:r>
        <w:t xml:space="preserve">De afgelopen 3 jaar hebben de tandartsen, mondhygiënisten en assistenten </w:t>
      </w:r>
      <w:r w:rsidR="00BA1AC1">
        <w:t>d</w:t>
      </w:r>
      <w:r>
        <w:t xml:space="preserve">ie zich belangeloos inzetten voor de organisatie meer dan 1.000 stadgenoten die in armoede leven </w:t>
      </w:r>
      <w:r w:rsidR="002E6A85">
        <w:t xml:space="preserve">van hun </w:t>
      </w:r>
      <w:r>
        <w:t>acute klachten</w:t>
      </w:r>
      <w:r w:rsidR="002E6A85">
        <w:t xml:space="preserve"> afge</w:t>
      </w:r>
      <w:r>
        <w:t>holpen</w:t>
      </w:r>
      <w:r w:rsidR="002E6A85">
        <w:t xml:space="preserve">. </w:t>
      </w:r>
      <w:r>
        <w:t xml:space="preserve">“En niet alleen op de speciale </w:t>
      </w:r>
      <w:proofErr w:type="spellStart"/>
      <w:r>
        <w:t>Tandartsdag</w:t>
      </w:r>
      <w:proofErr w:type="spellEnd"/>
      <w:r>
        <w:t>, die jaarlijks wordt georganiseerd om noodhulp te verlenen, staan mondzorgverleners belangeloos voor ze klaar. Zo’n  12 praktijken in de Maasstad helpen gedurende het héle jaar in samenwerking met stichting ANDERS, Fonds Bijzondere Noden Rotterdam en de Rotterdamse Tandarts Vereniging financieel kwetsbare mensen die pijnklachten of gebitsproblemen hebben</w:t>
      </w:r>
      <w:r w:rsidR="002E6A85">
        <w:t>”, aldus het juryrapport.</w:t>
      </w:r>
    </w:p>
    <w:p w14:paraId="7ABA9EF7" w14:textId="77777777" w:rsidR="005A0EF7" w:rsidRDefault="005A0EF7" w:rsidP="005A0EF7">
      <w:pPr>
        <w:pStyle w:val="BasistekstKNMT"/>
      </w:pPr>
    </w:p>
    <w:p w14:paraId="101750B0" w14:textId="5EA35ADA" w:rsidR="001A70BF" w:rsidRDefault="001A70BF" w:rsidP="005A0EF7">
      <w:pPr>
        <w:pStyle w:val="BasistekstKNMT"/>
      </w:pPr>
      <w:r>
        <w:t xml:space="preserve">Namens de organisatie namen </w:t>
      </w:r>
      <w:r w:rsidR="002E6A85">
        <w:t xml:space="preserve">tandartsen </w:t>
      </w:r>
      <w:proofErr w:type="spellStart"/>
      <w:r w:rsidR="002E6A85">
        <w:t>Semra</w:t>
      </w:r>
      <w:proofErr w:type="spellEnd"/>
      <w:r w:rsidR="002E6A85">
        <w:t xml:space="preserve"> </w:t>
      </w:r>
      <w:proofErr w:type="spellStart"/>
      <w:r w:rsidR="002E6A85">
        <w:t>Genc</w:t>
      </w:r>
      <w:proofErr w:type="spellEnd"/>
      <w:r w:rsidR="002E6A85">
        <w:t xml:space="preserve"> en </w:t>
      </w:r>
      <w:r>
        <w:t>Didi Wittekoek-Landman</w:t>
      </w:r>
      <w:r w:rsidR="002E6A85">
        <w:t xml:space="preserve"> </w:t>
      </w:r>
      <w:r>
        <w:t>en Anna Tak</w:t>
      </w:r>
      <w:r w:rsidR="002E6A85">
        <w:t xml:space="preserve"> van de stichting ANDERS</w:t>
      </w:r>
      <w:r>
        <w:t xml:space="preserve"> de prijs vrijdag 1 maart in ontvangst</w:t>
      </w:r>
      <w:r w:rsidR="005A0EF7">
        <w:t xml:space="preserve"> tijdens de uitreiking van de Apollonia </w:t>
      </w:r>
      <w:proofErr w:type="spellStart"/>
      <w:r w:rsidR="005A0EF7">
        <w:t>Awards</w:t>
      </w:r>
      <w:proofErr w:type="spellEnd"/>
      <w:r w:rsidR="002E6A85">
        <w:t>. Die organiseerde</w:t>
      </w:r>
      <w:r w:rsidR="005A0EF7">
        <w:t xml:space="preserve"> de beroepsvereniging van tandartsen en tandartsspecialisten KNMT dit jaar voor het eerst. </w:t>
      </w:r>
    </w:p>
    <w:p w14:paraId="5024CCA8" w14:textId="77777777" w:rsidR="001A70BF" w:rsidRDefault="001A70BF" w:rsidP="005A0EF7">
      <w:pPr>
        <w:pStyle w:val="BasistekstKNMT"/>
      </w:pPr>
    </w:p>
    <w:p w14:paraId="64715D91" w14:textId="7C9877F6" w:rsidR="005A0EF7" w:rsidRDefault="001A70BF" w:rsidP="005A0EF7">
      <w:pPr>
        <w:pStyle w:val="BasistekstKNMT"/>
      </w:pPr>
      <w:r>
        <w:t>Wittekoek</w:t>
      </w:r>
      <w:r w:rsidR="005A0EF7">
        <w:t>-Landman</w:t>
      </w:r>
      <w:r>
        <w:t xml:space="preserve"> was ook genomineerd als Tandarts van het Jaar maar moest die eer aan haar collega Arjan van den Dorpel uit het Zeeuwse Yerseke laten</w:t>
      </w:r>
      <w:r w:rsidR="005A0EF7">
        <w:t>.</w:t>
      </w:r>
      <w:r w:rsidR="00FE293F">
        <w:t xml:space="preserve"> </w:t>
      </w:r>
      <w:r>
        <w:t>Die liet in zijn dankwoord wel weten het bedrag van 500 euro prijzengeld dat bij zijn titel hoort te schenken aan de Rotterdammers.</w:t>
      </w:r>
    </w:p>
    <w:p w14:paraId="6C1F7CFB" w14:textId="77777777" w:rsidR="005A0EF7" w:rsidRDefault="005A0EF7" w:rsidP="005A0EF7">
      <w:pPr>
        <w:pStyle w:val="BasistekstKNMT"/>
      </w:pPr>
    </w:p>
    <w:p w14:paraId="2FE968B0" w14:textId="16DEF132" w:rsidR="00CB5FF1" w:rsidRDefault="001A70BF" w:rsidP="005A0EF7">
      <w:pPr>
        <w:pStyle w:val="BasistekstKNMT"/>
      </w:pPr>
      <w:r>
        <w:t xml:space="preserve">De derde en laatste Apollonia Award ging naar </w:t>
      </w:r>
      <w:r w:rsidR="005A0EF7">
        <w:t>Christianne Bijman uit Nijmegen</w:t>
      </w:r>
      <w:r>
        <w:t>. Zij</w:t>
      </w:r>
      <w:r w:rsidR="005A0EF7">
        <w:t xml:space="preserve"> werd uitgeroepen tot Tandheelkundestudent van het Jaar.</w:t>
      </w:r>
      <w:r w:rsidR="00FE293F">
        <w:t xml:space="preserve"> </w:t>
      </w:r>
    </w:p>
    <w:p w14:paraId="557B44AE" w14:textId="77777777" w:rsidR="00AB4B4C" w:rsidRDefault="00AB4B4C" w:rsidP="005A0EF7">
      <w:pPr>
        <w:pStyle w:val="BasistekstKNMT"/>
      </w:pPr>
    </w:p>
    <w:p w14:paraId="1BB07223" w14:textId="592809F4" w:rsidR="00AB4B4C" w:rsidRDefault="00AB4B4C" w:rsidP="005A0EF7">
      <w:pPr>
        <w:pStyle w:val="BasistekstKNMT"/>
      </w:pPr>
      <w:r>
        <w:t>+++</w:t>
      </w:r>
    </w:p>
    <w:p w14:paraId="17D47401" w14:textId="77777777" w:rsidR="00AB4B4C" w:rsidRDefault="00AB4B4C" w:rsidP="005A0EF7">
      <w:pPr>
        <w:pStyle w:val="BasistekstKNMT"/>
      </w:pPr>
    </w:p>
    <w:p w14:paraId="75890FDB" w14:textId="24639A73" w:rsidR="00AB4B4C" w:rsidRPr="000347F6" w:rsidRDefault="00AB4B4C" w:rsidP="005A0EF7">
      <w:pPr>
        <w:pStyle w:val="BasistekstKNMT"/>
      </w:pPr>
      <w:r>
        <w:t xml:space="preserve">Meer informatie: </w:t>
      </w:r>
      <w:hyperlink r:id="rId8" w:history="1">
        <w:r w:rsidRPr="004C40A3">
          <w:rPr>
            <w:rStyle w:val="Hyperlink"/>
          </w:rPr>
          <w:t>www.knmt.nl/apollonia</w:t>
        </w:r>
      </w:hyperlink>
      <w:r>
        <w:t xml:space="preserve"> </w:t>
      </w:r>
    </w:p>
    <w:sectPr w:rsidR="00AB4B4C" w:rsidRPr="000347F6" w:rsidSect="009C2302">
      <w:headerReference w:type="default" r:id="rId9"/>
      <w:headerReference w:type="first" r:id="rId10"/>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C505" w14:textId="77777777" w:rsidR="009C2302" w:rsidRPr="000347F6" w:rsidRDefault="009C2302" w:rsidP="000347F6">
      <w:pPr>
        <w:pStyle w:val="Voettekst"/>
      </w:pPr>
    </w:p>
  </w:endnote>
  <w:endnote w:type="continuationSeparator" w:id="0">
    <w:p w14:paraId="316C8B32" w14:textId="77777777" w:rsidR="009C2302" w:rsidRPr="000347F6" w:rsidRDefault="009C2302"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F31" w14:textId="77777777" w:rsidR="009C2302" w:rsidRPr="000347F6" w:rsidRDefault="009C2302" w:rsidP="000347F6">
      <w:pPr>
        <w:pStyle w:val="Voettekst"/>
      </w:pPr>
    </w:p>
  </w:footnote>
  <w:footnote w:type="continuationSeparator" w:id="0">
    <w:p w14:paraId="62FF020B" w14:textId="77777777" w:rsidR="009C2302" w:rsidRPr="000347F6" w:rsidRDefault="009C2302"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1AB7" w14:textId="20AE21E9" w:rsidR="00681931" w:rsidRDefault="00681931">
    <w:pPr>
      <w:pStyle w:val="Koptekst"/>
    </w:pPr>
    <w:r>
      <w:rPr>
        <w:noProof/>
      </w:rPr>
      <mc:AlternateContent>
        <mc:Choice Requires="wpc">
          <w:drawing>
            <wp:anchor distT="0" distB="0" distL="114300" distR="114300" simplePos="0" relativeHeight="251659264" behindDoc="1" locked="0" layoutInCell="1" allowOverlap="1" wp14:anchorId="5357B831" wp14:editId="6CFCB8CA">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C1DB83"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533B" w14:textId="1817D7F3" w:rsidR="00681931" w:rsidRDefault="00681931">
    <w:pPr>
      <w:pStyle w:val="Koptekst"/>
    </w:pPr>
    <w:r>
      <w:rPr>
        <w:noProof/>
      </w:rPr>
      <mc:AlternateContent>
        <mc:Choice Requires="wpc">
          <w:drawing>
            <wp:anchor distT="0" distB="0" distL="114300" distR="114300" simplePos="0" relativeHeight="251661312" behindDoc="1" locked="0" layoutInCell="1" allowOverlap="1" wp14:anchorId="65C43980" wp14:editId="068ABC52">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85ED40"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KNMT"/>
  </w:abstractNum>
  <w:abstractNum w:abstractNumId="13"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KNMT"/>
  </w:abstractNum>
  <w:abstractNum w:abstractNumId="17" w15:restartNumberingAfterBreak="0">
    <w:nsid w:val="189F3493"/>
    <w:multiLevelType w:val="multilevel"/>
    <w:tmpl w:val="B7B66B92"/>
    <w:numStyleLink w:val="KopnummeringKNMT"/>
  </w:abstractNum>
  <w:abstractNum w:abstractNumId="18"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KNMT"/>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B616121"/>
    <w:multiLevelType w:val="multilevel"/>
    <w:tmpl w:val="B4BACAD8"/>
    <w:numStyleLink w:val="OpsommingstreepjeKNMT"/>
  </w:abstractNum>
  <w:abstractNum w:abstractNumId="30"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646E2529"/>
    <w:multiLevelType w:val="multilevel"/>
    <w:tmpl w:val="1BDE6548"/>
    <w:numStyleLink w:val="OpsommingtekenKNMT"/>
  </w:abstractNum>
  <w:abstractNum w:abstractNumId="33" w15:restartNumberingAfterBreak="0">
    <w:nsid w:val="68141DDB"/>
    <w:multiLevelType w:val="multilevel"/>
    <w:tmpl w:val="CFFEF33E"/>
    <w:numStyleLink w:val="OpsommingopenrondjeKNMT"/>
  </w:abstractNum>
  <w:abstractNum w:abstractNumId="34" w15:restartNumberingAfterBreak="0">
    <w:nsid w:val="6E7370EC"/>
    <w:multiLevelType w:val="multilevel"/>
    <w:tmpl w:val="9200769E"/>
    <w:numStyleLink w:val="OpsommingkleineletterKNMT"/>
  </w:abstractNum>
  <w:abstractNum w:abstractNumId="3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426003195">
    <w:abstractNumId w:val="11"/>
  </w:num>
  <w:num w:numId="2" w16cid:durableId="1797871637">
    <w:abstractNumId w:val="21"/>
  </w:num>
  <w:num w:numId="3" w16cid:durableId="899749665">
    <w:abstractNumId w:val="23"/>
  </w:num>
  <w:num w:numId="4" w16cid:durableId="67533142">
    <w:abstractNumId w:val="13"/>
  </w:num>
  <w:num w:numId="5" w16cid:durableId="2036688654">
    <w:abstractNumId w:val="24"/>
  </w:num>
  <w:num w:numId="6" w16cid:durableId="338969822">
    <w:abstractNumId w:val="15"/>
  </w:num>
  <w:num w:numId="7" w16cid:durableId="1069694490">
    <w:abstractNumId w:val="14"/>
  </w:num>
  <w:num w:numId="8" w16cid:durableId="1368019843">
    <w:abstractNumId w:val="19"/>
  </w:num>
  <w:num w:numId="9" w16cid:durableId="1467240088">
    <w:abstractNumId w:val="22"/>
  </w:num>
  <w:num w:numId="10" w16cid:durableId="409278008">
    <w:abstractNumId w:val="31"/>
  </w:num>
  <w:num w:numId="11" w16cid:durableId="1133600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69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275824">
    <w:abstractNumId w:val="18"/>
  </w:num>
  <w:num w:numId="14" w16cid:durableId="707753409">
    <w:abstractNumId w:val="9"/>
  </w:num>
  <w:num w:numId="15" w16cid:durableId="495415984">
    <w:abstractNumId w:val="7"/>
  </w:num>
  <w:num w:numId="16" w16cid:durableId="1434743967">
    <w:abstractNumId w:val="6"/>
  </w:num>
  <w:num w:numId="17" w16cid:durableId="104882849">
    <w:abstractNumId w:val="5"/>
  </w:num>
  <w:num w:numId="18" w16cid:durableId="400298515">
    <w:abstractNumId w:val="4"/>
  </w:num>
  <w:num w:numId="19" w16cid:durableId="1905023785">
    <w:abstractNumId w:val="8"/>
  </w:num>
  <w:num w:numId="20" w16cid:durableId="1392115987">
    <w:abstractNumId w:val="3"/>
  </w:num>
  <w:num w:numId="21" w16cid:durableId="1986153741">
    <w:abstractNumId w:val="2"/>
  </w:num>
  <w:num w:numId="22" w16cid:durableId="1560828153">
    <w:abstractNumId w:val="1"/>
  </w:num>
  <w:num w:numId="23" w16cid:durableId="875656681">
    <w:abstractNumId w:val="0"/>
  </w:num>
  <w:num w:numId="24" w16cid:durableId="2138911377">
    <w:abstractNumId w:val="10"/>
  </w:num>
  <w:num w:numId="25" w16cid:durableId="54474734">
    <w:abstractNumId w:val="25"/>
  </w:num>
  <w:num w:numId="26" w16cid:durableId="1741058454">
    <w:abstractNumId w:val="37"/>
  </w:num>
  <w:num w:numId="27" w16cid:durableId="1250964466">
    <w:abstractNumId w:val="35"/>
  </w:num>
  <w:num w:numId="28" w16cid:durableId="2031368815">
    <w:abstractNumId w:val="28"/>
  </w:num>
  <w:num w:numId="29" w16cid:durableId="1569682947">
    <w:abstractNumId w:val="20"/>
  </w:num>
  <w:num w:numId="30" w16cid:durableId="1314988796">
    <w:abstractNumId w:val="30"/>
  </w:num>
  <w:num w:numId="31" w16cid:durableId="952592909">
    <w:abstractNumId w:val="27"/>
  </w:num>
  <w:num w:numId="32" w16cid:durableId="2116901527">
    <w:abstractNumId w:val="26"/>
  </w:num>
  <w:num w:numId="33" w16cid:durableId="821696912">
    <w:abstractNumId w:val="17"/>
  </w:num>
  <w:num w:numId="34" w16cid:durableId="1951471001">
    <w:abstractNumId w:val="12"/>
  </w:num>
  <w:num w:numId="35" w16cid:durableId="161118807">
    <w:abstractNumId w:val="34"/>
  </w:num>
  <w:num w:numId="36" w16cid:durableId="990331264">
    <w:abstractNumId w:val="16"/>
  </w:num>
  <w:num w:numId="37" w16cid:durableId="1082068497">
    <w:abstractNumId w:val="33"/>
  </w:num>
  <w:num w:numId="38" w16cid:durableId="1296789267">
    <w:abstractNumId w:val="29"/>
  </w:num>
  <w:num w:numId="39" w16cid:durableId="613905172">
    <w:abstractNumId w:val="32"/>
  </w:num>
  <w:num w:numId="40" w16cid:durableId="155157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8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F7"/>
    <w:rsid w:val="00004562"/>
    <w:rsid w:val="00006237"/>
    <w:rsid w:val="0000663D"/>
    <w:rsid w:val="00010D95"/>
    <w:rsid w:val="00011BFA"/>
    <w:rsid w:val="00014CA7"/>
    <w:rsid w:val="0002562D"/>
    <w:rsid w:val="000347F6"/>
    <w:rsid w:val="00035232"/>
    <w:rsid w:val="000418EF"/>
    <w:rsid w:val="0005205D"/>
    <w:rsid w:val="00052426"/>
    <w:rsid w:val="00052FF4"/>
    <w:rsid w:val="00053E43"/>
    <w:rsid w:val="0005430B"/>
    <w:rsid w:val="00074DAC"/>
    <w:rsid w:val="0009698A"/>
    <w:rsid w:val="000A1B78"/>
    <w:rsid w:val="000B5BEE"/>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5A2A"/>
    <w:rsid w:val="00135E7B"/>
    <w:rsid w:val="00137CBB"/>
    <w:rsid w:val="00145B8E"/>
    <w:rsid w:val="001463FE"/>
    <w:rsid w:val="0014640F"/>
    <w:rsid w:val="00152E4D"/>
    <w:rsid w:val="001579D8"/>
    <w:rsid w:val="001639F5"/>
    <w:rsid w:val="0018093D"/>
    <w:rsid w:val="001A70BF"/>
    <w:rsid w:val="001B1B37"/>
    <w:rsid w:val="001B4C7E"/>
    <w:rsid w:val="001C11BE"/>
    <w:rsid w:val="001C63E7"/>
    <w:rsid w:val="001D2A06"/>
    <w:rsid w:val="001E2293"/>
    <w:rsid w:val="001E34AC"/>
    <w:rsid w:val="001F0119"/>
    <w:rsid w:val="001F5B4F"/>
    <w:rsid w:val="001F5C28"/>
    <w:rsid w:val="001F6547"/>
    <w:rsid w:val="0020548B"/>
    <w:rsid w:val="0020607F"/>
    <w:rsid w:val="00206FF8"/>
    <w:rsid w:val="002074B2"/>
    <w:rsid w:val="00216489"/>
    <w:rsid w:val="00220A9C"/>
    <w:rsid w:val="00230B64"/>
    <w:rsid w:val="00236DE9"/>
    <w:rsid w:val="00242226"/>
    <w:rsid w:val="002518D2"/>
    <w:rsid w:val="00256039"/>
    <w:rsid w:val="00257AA9"/>
    <w:rsid w:val="00262D4E"/>
    <w:rsid w:val="00263551"/>
    <w:rsid w:val="002646C8"/>
    <w:rsid w:val="0027675E"/>
    <w:rsid w:val="00282B5D"/>
    <w:rsid w:val="00283592"/>
    <w:rsid w:val="00286914"/>
    <w:rsid w:val="00292B9D"/>
    <w:rsid w:val="00294CD2"/>
    <w:rsid w:val="002A25B5"/>
    <w:rsid w:val="002A2E44"/>
    <w:rsid w:val="002B08A4"/>
    <w:rsid w:val="002B2998"/>
    <w:rsid w:val="002B64EE"/>
    <w:rsid w:val="002C46FB"/>
    <w:rsid w:val="002D098D"/>
    <w:rsid w:val="002D0E88"/>
    <w:rsid w:val="002D52B2"/>
    <w:rsid w:val="002D7F26"/>
    <w:rsid w:val="002E2611"/>
    <w:rsid w:val="002E274E"/>
    <w:rsid w:val="002E6A85"/>
    <w:rsid w:val="002F7B77"/>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97592"/>
    <w:rsid w:val="004C379C"/>
    <w:rsid w:val="004C4B7F"/>
    <w:rsid w:val="004D2412"/>
    <w:rsid w:val="004F6A99"/>
    <w:rsid w:val="00501A64"/>
    <w:rsid w:val="00503BFD"/>
    <w:rsid w:val="005043E5"/>
    <w:rsid w:val="00507843"/>
    <w:rsid w:val="00515E2F"/>
    <w:rsid w:val="00521726"/>
    <w:rsid w:val="00526530"/>
    <w:rsid w:val="0053645C"/>
    <w:rsid w:val="00545244"/>
    <w:rsid w:val="00553801"/>
    <w:rsid w:val="005615BE"/>
    <w:rsid w:val="00562E3D"/>
    <w:rsid w:val="00572201"/>
    <w:rsid w:val="00573E6C"/>
    <w:rsid w:val="00575FFC"/>
    <w:rsid w:val="005A0EF7"/>
    <w:rsid w:val="005A2BEC"/>
    <w:rsid w:val="005B4FAF"/>
    <w:rsid w:val="005C5603"/>
    <w:rsid w:val="005C6668"/>
    <w:rsid w:val="005D4151"/>
    <w:rsid w:val="005D5E21"/>
    <w:rsid w:val="006004A5"/>
    <w:rsid w:val="006040DB"/>
    <w:rsid w:val="00612C22"/>
    <w:rsid w:val="006306BA"/>
    <w:rsid w:val="0065269B"/>
    <w:rsid w:val="00664EE1"/>
    <w:rsid w:val="006767B2"/>
    <w:rsid w:val="00681931"/>
    <w:rsid w:val="00685EED"/>
    <w:rsid w:val="006953A2"/>
    <w:rsid w:val="006B6044"/>
    <w:rsid w:val="006C5951"/>
    <w:rsid w:val="006C6A9D"/>
    <w:rsid w:val="006D1154"/>
    <w:rsid w:val="006D2ECD"/>
    <w:rsid w:val="006D3636"/>
    <w:rsid w:val="00703BD3"/>
    <w:rsid w:val="00705849"/>
    <w:rsid w:val="00706308"/>
    <w:rsid w:val="007107B4"/>
    <w:rsid w:val="00712665"/>
    <w:rsid w:val="0071386B"/>
    <w:rsid w:val="0072479C"/>
    <w:rsid w:val="007358BA"/>
    <w:rsid w:val="00736180"/>
    <w:rsid w:val="007361EE"/>
    <w:rsid w:val="00743326"/>
    <w:rsid w:val="007459EE"/>
    <w:rsid w:val="00750733"/>
    <w:rsid w:val="00750780"/>
    <w:rsid w:val="007525D1"/>
    <w:rsid w:val="00756C31"/>
    <w:rsid w:val="00763B35"/>
    <w:rsid w:val="00764AF2"/>
    <w:rsid w:val="00766E99"/>
    <w:rsid w:val="00770652"/>
    <w:rsid w:val="00775717"/>
    <w:rsid w:val="00776618"/>
    <w:rsid w:val="00787B55"/>
    <w:rsid w:val="0079179F"/>
    <w:rsid w:val="00793355"/>
    <w:rsid w:val="007939D0"/>
    <w:rsid w:val="00796A8D"/>
    <w:rsid w:val="007B5373"/>
    <w:rsid w:val="007C0010"/>
    <w:rsid w:val="007C037C"/>
    <w:rsid w:val="007D4A7D"/>
    <w:rsid w:val="007D4DCE"/>
    <w:rsid w:val="007E7724"/>
    <w:rsid w:val="007F35A2"/>
    <w:rsid w:val="007F48F0"/>
    <w:rsid w:val="007F653F"/>
    <w:rsid w:val="007F71C0"/>
    <w:rsid w:val="008064EE"/>
    <w:rsid w:val="00810585"/>
    <w:rsid w:val="00826EA4"/>
    <w:rsid w:val="00832239"/>
    <w:rsid w:val="00854B34"/>
    <w:rsid w:val="0086137E"/>
    <w:rsid w:val="008736AE"/>
    <w:rsid w:val="008775D3"/>
    <w:rsid w:val="00884319"/>
    <w:rsid w:val="00886BB9"/>
    <w:rsid w:val="008870F0"/>
    <w:rsid w:val="00893934"/>
    <w:rsid w:val="008B5CD1"/>
    <w:rsid w:val="008C2F90"/>
    <w:rsid w:val="008D22AA"/>
    <w:rsid w:val="008D7BDD"/>
    <w:rsid w:val="0090724E"/>
    <w:rsid w:val="00910D57"/>
    <w:rsid w:val="009221AC"/>
    <w:rsid w:val="009225D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C1976"/>
    <w:rsid w:val="009C2302"/>
    <w:rsid w:val="009D2889"/>
    <w:rsid w:val="009D5A27"/>
    <w:rsid w:val="009D5AE2"/>
    <w:rsid w:val="00A07FEF"/>
    <w:rsid w:val="00A1497C"/>
    <w:rsid w:val="00A21956"/>
    <w:rsid w:val="00A21970"/>
    <w:rsid w:val="00A42EEC"/>
    <w:rsid w:val="00A50406"/>
    <w:rsid w:val="00A50767"/>
    <w:rsid w:val="00A60A58"/>
    <w:rsid w:val="00A65B09"/>
    <w:rsid w:val="00A670BB"/>
    <w:rsid w:val="00A76E7C"/>
    <w:rsid w:val="00AB0D90"/>
    <w:rsid w:val="00AB1E21"/>
    <w:rsid w:val="00AB1E30"/>
    <w:rsid w:val="00AB2477"/>
    <w:rsid w:val="00AB4B4C"/>
    <w:rsid w:val="00AB56F0"/>
    <w:rsid w:val="00AB5DBD"/>
    <w:rsid w:val="00AC273E"/>
    <w:rsid w:val="00AD24E6"/>
    <w:rsid w:val="00AD31A0"/>
    <w:rsid w:val="00AD4DF7"/>
    <w:rsid w:val="00AE0183"/>
    <w:rsid w:val="00AE2110"/>
    <w:rsid w:val="00AE2EB1"/>
    <w:rsid w:val="00B01DA1"/>
    <w:rsid w:val="00B11A76"/>
    <w:rsid w:val="00B233E3"/>
    <w:rsid w:val="00B460C2"/>
    <w:rsid w:val="00B75ED8"/>
    <w:rsid w:val="00B77809"/>
    <w:rsid w:val="00B9540B"/>
    <w:rsid w:val="00BA1AC1"/>
    <w:rsid w:val="00BA3794"/>
    <w:rsid w:val="00BA3F4D"/>
    <w:rsid w:val="00BA79E3"/>
    <w:rsid w:val="00BB1FC1"/>
    <w:rsid w:val="00BB31CE"/>
    <w:rsid w:val="00BC0188"/>
    <w:rsid w:val="00BC6FB7"/>
    <w:rsid w:val="00BE64B3"/>
    <w:rsid w:val="00BF6A7B"/>
    <w:rsid w:val="00C06D9A"/>
    <w:rsid w:val="00C201EB"/>
    <w:rsid w:val="00C33308"/>
    <w:rsid w:val="00C4003A"/>
    <w:rsid w:val="00C41422"/>
    <w:rsid w:val="00C51137"/>
    <w:rsid w:val="00C6206C"/>
    <w:rsid w:val="00C92E08"/>
    <w:rsid w:val="00C93473"/>
    <w:rsid w:val="00CA1FE3"/>
    <w:rsid w:val="00CA332D"/>
    <w:rsid w:val="00CB3533"/>
    <w:rsid w:val="00CB5FF1"/>
    <w:rsid w:val="00CB7600"/>
    <w:rsid w:val="00CB7D61"/>
    <w:rsid w:val="00CC6A4B"/>
    <w:rsid w:val="00CD7A5A"/>
    <w:rsid w:val="00CE2BA6"/>
    <w:rsid w:val="00CF2B0C"/>
    <w:rsid w:val="00D023A0"/>
    <w:rsid w:val="00D16E87"/>
    <w:rsid w:val="00D20882"/>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0C0F"/>
    <w:rsid w:val="00EC72BE"/>
    <w:rsid w:val="00EE35E4"/>
    <w:rsid w:val="00EE5A21"/>
    <w:rsid w:val="00EF271D"/>
    <w:rsid w:val="00EF534C"/>
    <w:rsid w:val="00F005C9"/>
    <w:rsid w:val="00F1404D"/>
    <w:rsid w:val="00F16B2B"/>
    <w:rsid w:val="00F16EDB"/>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B22AF"/>
    <w:rsid w:val="00FB7F9C"/>
    <w:rsid w:val="00FC25E1"/>
    <w:rsid w:val="00FC3FA5"/>
    <w:rsid w:val="00FD2C03"/>
    <w:rsid w:val="00FD63B3"/>
    <w:rsid w:val="00FE1BFD"/>
    <w:rsid w:val="00FE293F"/>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7A815572"/>
  <w15:chartTrackingRefBased/>
  <w15:docId w15:val="{D1907800-7668-422F-B8AD-A487C6FF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next w:val="BasistekstKNMT"/>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 w:type="character" w:styleId="Onopgelostemelding">
    <w:name w:val="Unresolved Mention"/>
    <w:basedOn w:val="Standaardalinea-lettertype"/>
    <w:uiPriority w:val="99"/>
    <w:semiHidden/>
    <w:unhideWhenUsed/>
    <w:rsid w:val="00AB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t.nl/apollo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268</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Scholten</dc:creator>
  <cp:keywords/>
  <dc:description/>
  <cp:lastModifiedBy>Hans Scholten</cp:lastModifiedBy>
  <cp:revision>6</cp:revision>
  <cp:lastPrinted>2009-10-06T11:51:00Z</cp:lastPrinted>
  <dcterms:created xsi:type="dcterms:W3CDTF">2024-03-05T07:31:00Z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